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8AC" w:rsidRDefault="00E808AC" w:rsidP="00FB53A4">
      <w:pPr>
        <w:pStyle w:val="NoSpacing"/>
        <w:rPr>
          <w:rFonts w:ascii="Times New Roman" w:hAnsi="Times New Roman" w:cs="Times New Roman"/>
          <w:b/>
          <w:sz w:val="24"/>
        </w:rPr>
      </w:pPr>
      <w:r>
        <w:rPr>
          <w:noProof/>
        </w:rPr>
        <w:drawing>
          <wp:anchor distT="0" distB="0" distL="114300" distR="114300" simplePos="0" relativeHeight="251658240" behindDoc="0" locked="0" layoutInCell="1" allowOverlap="1" wp14:anchorId="3B36CA95" wp14:editId="40067C1D">
            <wp:simplePos x="0" y="0"/>
            <wp:positionH relativeFrom="column">
              <wp:posOffset>-80010</wp:posOffset>
            </wp:positionH>
            <wp:positionV relativeFrom="paragraph">
              <wp:posOffset>-1212850</wp:posOffset>
            </wp:positionV>
            <wp:extent cx="1238250" cy="9239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23925"/>
                    </a:xfrm>
                    <a:prstGeom prst="rect">
                      <a:avLst/>
                    </a:prstGeom>
                    <a:noFill/>
                  </pic:spPr>
                </pic:pic>
              </a:graphicData>
            </a:graphic>
            <wp14:sizeRelH relativeFrom="page">
              <wp14:pctWidth>0</wp14:pctWidth>
            </wp14:sizeRelH>
            <wp14:sizeRelV relativeFrom="page">
              <wp14:pctHeight>0</wp14:pctHeight>
            </wp14:sizeRelV>
          </wp:anchor>
        </w:drawing>
      </w:r>
    </w:p>
    <w:p w:rsidR="00244495" w:rsidRDefault="00244495" w:rsidP="00FB53A4">
      <w:pPr>
        <w:pStyle w:val="NoSpacing"/>
        <w:rPr>
          <w:rFonts w:ascii="Times New Roman" w:hAnsi="Times New Roman" w:cs="Times New Roman"/>
          <w:sz w:val="24"/>
          <w:lang w:val="es-ES"/>
        </w:rPr>
      </w:pPr>
    </w:p>
    <w:p w:rsidR="00DD0090" w:rsidRPr="00DD0090" w:rsidRDefault="00DD0090" w:rsidP="00DD0090">
      <w:pPr>
        <w:jc w:val="center"/>
        <w:rPr>
          <w:rFonts w:ascii="Arial" w:hAnsi="Arial" w:cs="Arial"/>
          <w:b/>
          <w:bCs/>
          <w:lang w:val="es-ES"/>
        </w:rPr>
      </w:pPr>
      <w:r w:rsidRPr="00DD0090">
        <w:rPr>
          <w:rFonts w:ascii="Arial" w:hAnsi="Arial" w:cs="Arial"/>
          <w:b/>
          <w:bCs/>
          <w:lang w:val="es-ES"/>
        </w:rPr>
        <w:t>CURSO - TALLER “VALORACION INMOBILIARIA”</w:t>
      </w:r>
      <w:bookmarkStart w:id="0" w:name="_GoBack"/>
      <w:bookmarkEnd w:id="0"/>
    </w:p>
    <w:p w:rsidR="00DD0090" w:rsidRPr="00DD0090" w:rsidRDefault="00DD0090" w:rsidP="00DD0090">
      <w:pPr>
        <w:jc w:val="center"/>
        <w:rPr>
          <w:rFonts w:ascii="Arial" w:hAnsi="Arial" w:cs="Arial"/>
          <w:b/>
          <w:bCs/>
          <w:lang w:val="es-ES"/>
        </w:rPr>
      </w:pPr>
      <w:r w:rsidRPr="00DD0090">
        <w:rPr>
          <w:rFonts w:ascii="Arial" w:hAnsi="Arial" w:cs="Arial"/>
          <w:b/>
          <w:bCs/>
          <w:lang w:val="es-ES"/>
        </w:rPr>
        <w:t xml:space="preserve">Viernes 31 y </w:t>
      </w:r>
      <w:proofErr w:type="gramStart"/>
      <w:r w:rsidRPr="00DD0090">
        <w:rPr>
          <w:rFonts w:ascii="Arial" w:hAnsi="Arial" w:cs="Arial"/>
          <w:b/>
          <w:bCs/>
          <w:lang w:val="es-ES"/>
        </w:rPr>
        <w:t>Sábado 01 de Junio</w:t>
      </w:r>
      <w:proofErr w:type="gramEnd"/>
      <w:r w:rsidR="00CD21AD">
        <w:rPr>
          <w:rFonts w:ascii="Arial" w:hAnsi="Arial" w:cs="Arial"/>
          <w:b/>
          <w:bCs/>
          <w:lang w:val="es-ES"/>
        </w:rPr>
        <w:t xml:space="preserve"> 2013.-</w:t>
      </w:r>
    </w:p>
    <w:p w:rsidR="00DD0090" w:rsidRPr="00DD0090" w:rsidRDefault="00DD0090" w:rsidP="00DD0090">
      <w:pPr>
        <w:pStyle w:val="NoSpacing"/>
        <w:jc w:val="both"/>
        <w:rPr>
          <w:rFonts w:ascii="Times New Roman" w:hAnsi="Times New Roman" w:cs="Times New Roman"/>
          <w:szCs w:val="24"/>
          <w:lang w:val="es-ES"/>
        </w:rPr>
      </w:pPr>
      <w:r w:rsidRPr="00DD0090">
        <w:rPr>
          <w:rFonts w:ascii="Times New Roman" w:hAnsi="Times New Roman" w:cs="Times New Roman"/>
          <w:szCs w:val="24"/>
          <w:lang w:val="es-ES"/>
        </w:rPr>
        <w:t>Inscripciones: Tel. 021-295233 - 0983-318082.-</w:t>
      </w:r>
    </w:p>
    <w:p w:rsidR="00DD0090" w:rsidRPr="00DD0090" w:rsidRDefault="00DD0090" w:rsidP="00DD0090">
      <w:pPr>
        <w:pStyle w:val="NoSpacing"/>
        <w:jc w:val="both"/>
        <w:rPr>
          <w:rFonts w:ascii="Times New Roman" w:hAnsi="Times New Roman" w:cs="Times New Roman"/>
          <w:szCs w:val="24"/>
          <w:lang w:val="es-ES"/>
        </w:rPr>
      </w:pPr>
      <w:r w:rsidRPr="00DD0090">
        <w:rPr>
          <w:rFonts w:ascii="Times New Roman" w:hAnsi="Times New Roman" w:cs="Times New Roman"/>
          <w:szCs w:val="24"/>
          <w:lang w:val="es-ES"/>
        </w:rPr>
        <w:t xml:space="preserve">Email: </w:t>
      </w:r>
      <w:hyperlink r:id="rId9" w:history="1">
        <w:r w:rsidRPr="00DD0090">
          <w:rPr>
            <w:rStyle w:val="Hyperlink"/>
            <w:rFonts w:ascii="Times New Roman" w:hAnsi="Times New Roman" w:cs="Times New Roman"/>
            <w:szCs w:val="24"/>
            <w:lang w:val="es-ES"/>
          </w:rPr>
          <w:t>secretaria@aiap.org.py</w:t>
        </w:r>
      </w:hyperlink>
    </w:p>
    <w:p w:rsidR="00DD0090" w:rsidRPr="00DD0090" w:rsidRDefault="00DD0090" w:rsidP="00DD0090">
      <w:pPr>
        <w:pStyle w:val="NoSpacing"/>
        <w:jc w:val="both"/>
        <w:rPr>
          <w:rFonts w:ascii="Times New Roman" w:hAnsi="Times New Roman" w:cs="Times New Roman"/>
          <w:szCs w:val="24"/>
          <w:lang w:val="es-ES"/>
        </w:rPr>
      </w:pPr>
    </w:p>
    <w:p w:rsidR="00DD0090" w:rsidRPr="00DD0090" w:rsidRDefault="00DD0090" w:rsidP="00DD0090">
      <w:pPr>
        <w:pStyle w:val="NoSpacing"/>
        <w:jc w:val="both"/>
        <w:rPr>
          <w:rFonts w:ascii="Times New Roman" w:hAnsi="Times New Roman" w:cs="Times New Roman"/>
          <w:szCs w:val="24"/>
          <w:lang w:val="es-ES"/>
        </w:rPr>
      </w:pPr>
      <w:r w:rsidRPr="00DD0090">
        <w:rPr>
          <w:rFonts w:ascii="Times New Roman" w:hAnsi="Times New Roman" w:cs="Times New Roman"/>
          <w:szCs w:val="24"/>
          <w:lang w:val="es-ES"/>
        </w:rPr>
        <w:t>Local: Asociación de Ingenieros Agrónomos del Paraguay</w:t>
      </w:r>
    </w:p>
    <w:p w:rsidR="00DD0090" w:rsidRPr="00DD0090" w:rsidRDefault="00DD0090" w:rsidP="00DD0090">
      <w:pPr>
        <w:pStyle w:val="NoSpacing"/>
        <w:jc w:val="both"/>
        <w:rPr>
          <w:rFonts w:ascii="Times New Roman" w:hAnsi="Times New Roman" w:cs="Times New Roman"/>
          <w:szCs w:val="24"/>
          <w:lang w:val="es-ES"/>
        </w:rPr>
      </w:pPr>
      <w:r w:rsidRPr="00DD0090">
        <w:rPr>
          <w:rFonts w:ascii="Times New Roman" w:hAnsi="Times New Roman" w:cs="Times New Roman"/>
          <w:szCs w:val="24"/>
          <w:lang w:val="es-ES"/>
        </w:rPr>
        <w:t>Rafael Franco 938 (Ex-Itapuá) c/Santísima Trinidad</w:t>
      </w:r>
    </w:p>
    <w:p w:rsidR="00DD0090" w:rsidRPr="00DD0090" w:rsidRDefault="00DD0090" w:rsidP="00DD0090">
      <w:pPr>
        <w:pStyle w:val="NoSpacing"/>
        <w:jc w:val="both"/>
        <w:rPr>
          <w:rFonts w:ascii="Times New Roman" w:hAnsi="Times New Roman" w:cs="Times New Roman"/>
          <w:szCs w:val="24"/>
          <w:lang w:val="es-ES"/>
        </w:rPr>
      </w:pPr>
      <w:r w:rsidRPr="00DD0090">
        <w:rPr>
          <w:rFonts w:ascii="Times New Roman" w:hAnsi="Times New Roman" w:cs="Times New Roman"/>
          <w:szCs w:val="24"/>
          <w:lang w:val="es-ES"/>
        </w:rPr>
        <w:t>Horario: De 08:00 a 16:00 Hs. Los módulos serán desarrollados en jornadas de 8 horas cada uno, con pausas de 15 minutos, cada 2 horas.</w:t>
      </w:r>
    </w:p>
    <w:p w:rsidR="00DD0090" w:rsidRPr="00DD0090" w:rsidRDefault="00DD0090" w:rsidP="00DD0090">
      <w:pPr>
        <w:pStyle w:val="NoSpacing"/>
        <w:jc w:val="both"/>
        <w:rPr>
          <w:rFonts w:ascii="Times New Roman" w:hAnsi="Times New Roman" w:cs="Times New Roman"/>
          <w:szCs w:val="24"/>
          <w:lang w:val="es-ES"/>
        </w:rPr>
      </w:pPr>
    </w:p>
    <w:p w:rsidR="00DD0090" w:rsidRPr="00DD0090" w:rsidRDefault="00DD0090" w:rsidP="00DD0090">
      <w:pPr>
        <w:pStyle w:val="NoSpacing"/>
        <w:rPr>
          <w:rFonts w:ascii="Times New Roman" w:hAnsi="Times New Roman" w:cs="Times New Roman"/>
          <w:szCs w:val="24"/>
          <w:lang w:val="es-ES"/>
        </w:rPr>
      </w:pPr>
      <w:r w:rsidRPr="00DD0090">
        <w:rPr>
          <w:rFonts w:ascii="Times New Roman" w:hAnsi="Times New Roman" w:cs="Times New Roman"/>
          <w:szCs w:val="24"/>
          <w:lang w:val="es-ES"/>
        </w:rPr>
        <w:t>Inversión:</w:t>
      </w:r>
    </w:p>
    <w:p w:rsidR="00DD0090" w:rsidRPr="00BB4ECB" w:rsidRDefault="00DD0090" w:rsidP="00DD0090">
      <w:pPr>
        <w:spacing w:after="0" w:line="240" w:lineRule="auto"/>
        <w:ind w:firstLine="708"/>
        <w:jc w:val="both"/>
        <w:rPr>
          <w:rFonts w:ascii="Times New Roman" w:eastAsia="Calibri" w:hAnsi="Times New Roman" w:cs="Times New Roman"/>
          <w:szCs w:val="24"/>
          <w:u w:val="single"/>
          <w:lang w:val="es-PY"/>
        </w:rPr>
      </w:pPr>
      <w:r w:rsidRPr="00BB4ECB">
        <w:rPr>
          <w:rFonts w:ascii="Times New Roman" w:eastAsia="Calibri" w:hAnsi="Times New Roman" w:cs="Times New Roman"/>
          <w:szCs w:val="24"/>
          <w:u w:val="single"/>
          <w:lang w:val="es-PY"/>
        </w:rPr>
        <w:t>Costo de Inscripción hasta el 15 de Mayo 2013.-</w:t>
      </w:r>
    </w:p>
    <w:p w:rsidR="00DD0090" w:rsidRPr="00BB4ECB" w:rsidRDefault="00DD0090" w:rsidP="00DD0090">
      <w:pPr>
        <w:spacing w:after="0" w:line="240" w:lineRule="auto"/>
        <w:ind w:firstLine="708"/>
        <w:jc w:val="both"/>
        <w:rPr>
          <w:rFonts w:ascii="Times New Roman" w:eastAsia="Calibri" w:hAnsi="Times New Roman" w:cs="Times New Roman"/>
          <w:szCs w:val="24"/>
          <w:lang w:val="es-PY"/>
        </w:rPr>
      </w:pPr>
      <w:r w:rsidRPr="00BB4ECB">
        <w:rPr>
          <w:rFonts w:ascii="Times New Roman" w:eastAsia="Calibri" w:hAnsi="Times New Roman" w:cs="Times New Roman"/>
          <w:szCs w:val="24"/>
          <w:lang w:val="es-PY"/>
        </w:rPr>
        <w:t>300.000.- Gs. Socios al día.</w:t>
      </w:r>
    </w:p>
    <w:p w:rsidR="00DD0090" w:rsidRPr="00BB4ECB" w:rsidRDefault="00DD0090" w:rsidP="00DD0090">
      <w:pPr>
        <w:spacing w:after="0" w:line="240" w:lineRule="auto"/>
        <w:ind w:firstLine="708"/>
        <w:jc w:val="both"/>
        <w:rPr>
          <w:rFonts w:ascii="Times New Roman" w:eastAsia="Calibri" w:hAnsi="Times New Roman" w:cs="Times New Roman"/>
          <w:szCs w:val="24"/>
          <w:lang w:val="es-PY"/>
        </w:rPr>
      </w:pPr>
      <w:r w:rsidRPr="00BB4ECB">
        <w:rPr>
          <w:rFonts w:ascii="Times New Roman" w:eastAsia="Calibri" w:hAnsi="Times New Roman" w:cs="Times New Roman"/>
          <w:szCs w:val="24"/>
          <w:lang w:val="es-PY"/>
        </w:rPr>
        <w:t>400.000.- Gs. No Socios e interesados.</w:t>
      </w:r>
    </w:p>
    <w:p w:rsidR="00DD0090" w:rsidRPr="00BB4ECB" w:rsidRDefault="00DD0090" w:rsidP="00DD0090">
      <w:pPr>
        <w:spacing w:after="0" w:line="240" w:lineRule="auto"/>
        <w:ind w:firstLine="708"/>
        <w:jc w:val="both"/>
        <w:rPr>
          <w:rFonts w:ascii="Times New Roman" w:eastAsia="Calibri" w:hAnsi="Times New Roman" w:cs="Times New Roman"/>
          <w:szCs w:val="24"/>
          <w:lang w:val="es-PY"/>
        </w:rPr>
      </w:pPr>
    </w:p>
    <w:p w:rsidR="00DD0090" w:rsidRPr="00BB4ECB" w:rsidRDefault="00DD0090" w:rsidP="00DD0090">
      <w:pPr>
        <w:spacing w:after="0" w:line="240" w:lineRule="auto"/>
        <w:ind w:firstLine="708"/>
        <w:jc w:val="both"/>
        <w:rPr>
          <w:rFonts w:ascii="Times New Roman" w:eastAsia="Calibri" w:hAnsi="Times New Roman" w:cs="Times New Roman"/>
          <w:szCs w:val="24"/>
          <w:u w:val="single"/>
          <w:lang w:val="es-PY"/>
        </w:rPr>
      </w:pPr>
      <w:r w:rsidRPr="00BB4ECB">
        <w:rPr>
          <w:rFonts w:ascii="Times New Roman" w:eastAsia="Calibri" w:hAnsi="Times New Roman" w:cs="Times New Roman"/>
          <w:szCs w:val="24"/>
          <w:u w:val="single"/>
          <w:lang w:val="es-PY"/>
        </w:rPr>
        <w:t>Costo de Inscripción del 16 de Mayo 2013.-  hasta el día de Inicio del Curso:</w:t>
      </w:r>
    </w:p>
    <w:p w:rsidR="00DD0090" w:rsidRPr="00BB4ECB" w:rsidRDefault="00DD0090" w:rsidP="00DD0090">
      <w:pPr>
        <w:spacing w:after="0" w:line="240" w:lineRule="auto"/>
        <w:ind w:firstLine="708"/>
        <w:jc w:val="both"/>
        <w:rPr>
          <w:rFonts w:ascii="Times New Roman" w:eastAsia="Calibri" w:hAnsi="Times New Roman" w:cs="Times New Roman"/>
          <w:szCs w:val="24"/>
          <w:lang w:val="es-PY"/>
        </w:rPr>
      </w:pPr>
      <w:r w:rsidRPr="00BB4ECB">
        <w:rPr>
          <w:rFonts w:ascii="Times New Roman" w:eastAsia="Calibri" w:hAnsi="Times New Roman" w:cs="Times New Roman"/>
          <w:szCs w:val="24"/>
          <w:lang w:val="es-PY"/>
        </w:rPr>
        <w:t>Gs. 400.000.- Socios al día.</w:t>
      </w:r>
    </w:p>
    <w:p w:rsidR="00DD0090" w:rsidRPr="00BB4ECB" w:rsidRDefault="00DD0090" w:rsidP="00DD0090">
      <w:pPr>
        <w:spacing w:after="0" w:line="240" w:lineRule="auto"/>
        <w:ind w:firstLine="708"/>
        <w:jc w:val="both"/>
        <w:rPr>
          <w:rFonts w:ascii="Times New Roman" w:eastAsia="Calibri" w:hAnsi="Times New Roman" w:cs="Times New Roman"/>
          <w:szCs w:val="24"/>
          <w:lang w:val="es-PY"/>
        </w:rPr>
      </w:pPr>
      <w:r w:rsidRPr="00BB4ECB">
        <w:rPr>
          <w:rFonts w:ascii="Times New Roman" w:eastAsia="Calibri" w:hAnsi="Times New Roman" w:cs="Times New Roman"/>
          <w:szCs w:val="24"/>
          <w:lang w:val="es-PY"/>
        </w:rPr>
        <w:t>Gs. 500.000.- No socios e interesados.</w:t>
      </w:r>
    </w:p>
    <w:p w:rsidR="00DD0090" w:rsidRPr="00BB4ECB" w:rsidRDefault="00DD0090" w:rsidP="00DD0090">
      <w:pPr>
        <w:spacing w:after="0" w:line="240" w:lineRule="auto"/>
        <w:jc w:val="both"/>
        <w:rPr>
          <w:rFonts w:ascii="Times New Roman" w:eastAsia="Calibri" w:hAnsi="Times New Roman" w:cs="Times New Roman"/>
          <w:szCs w:val="24"/>
          <w:lang w:val="es-PY"/>
        </w:rPr>
      </w:pPr>
    </w:p>
    <w:p w:rsidR="00DD0090" w:rsidRPr="00BB4ECB" w:rsidRDefault="00DD0090" w:rsidP="00DD0090">
      <w:pPr>
        <w:spacing w:after="0"/>
        <w:jc w:val="center"/>
        <w:rPr>
          <w:rFonts w:ascii="Times New Roman" w:eastAsia="Times New Roman" w:hAnsi="Times New Roman" w:cs="Times New Roman"/>
          <w:b/>
          <w:szCs w:val="24"/>
          <w:lang w:val="es-ES" w:eastAsia="es-ES"/>
        </w:rPr>
      </w:pPr>
      <w:r w:rsidRPr="00DD0090">
        <w:rPr>
          <w:rFonts w:ascii="Times New Roman" w:hAnsi="Times New Roman" w:cs="Times New Roman"/>
          <w:b/>
          <w:szCs w:val="24"/>
          <w:lang w:val="es-ES"/>
        </w:rPr>
        <w:t>Se expedirán certificados  - PLAZAS LIMITADAS.-</w:t>
      </w:r>
    </w:p>
    <w:p w:rsidR="00DD0090" w:rsidRPr="00BB4ECB" w:rsidRDefault="00DD0090" w:rsidP="00DD0090">
      <w:pPr>
        <w:spacing w:after="0" w:line="240" w:lineRule="auto"/>
        <w:ind w:firstLine="708"/>
        <w:jc w:val="both"/>
        <w:rPr>
          <w:rFonts w:ascii="Times New Roman" w:eastAsia="Calibri" w:hAnsi="Times New Roman" w:cs="Times New Roman"/>
          <w:szCs w:val="24"/>
          <w:lang w:val="es-PY"/>
        </w:rPr>
      </w:pPr>
    </w:p>
    <w:p w:rsidR="00DD0090" w:rsidRPr="00BB4ECB" w:rsidRDefault="00DD0090" w:rsidP="00DD0090">
      <w:pPr>
        <w:spacing w:after="0" w:line="240" w:lineRule="auto"/>
        <w:jc w:val="center"/>
        <w:rPr>
          <w:rFonts w:ascii="Times New Roman" w:eastAsia="Calibri" w:hAnsi="Times New Roman" w:cs="Times New Roman"/>
          <w:szCs w:val="24"/>
          <w:u w:val="single"/>
          <w:lang w:val="es-PY"/>
        </w:rPr>
      </w:pPr>
      <w:r w:rsidRPr="00BB4ECB">
        <w:rPr>
          <w:rFonts w:ascii="Times New Roman" w:eastAsia="Calibri" w:hAnsi="Times New Roman" w:cs="Times New Roman"/>
          <w:szCs w:val="24"/>
          <w:u w:val="single"/>
          <w:lang w:val="es-PY"/>
        </w:rPr>
        <w:t>Objetivos del Curso</w:t>
      </w:r>
    </w:p>
    <w:p w:rsidR="00DD0090" w:rsidRPr="00BB4ECB" w:rsidRDefault="00DD0090" w:rsidP="00DD0090">
      <w:pPr>
        <w:spacing w:after="0" w:line="240" w:lineRule="auto"/>
        <w:jc w:val="both"/>
        <w:rPr>
          <w:rFonts w:ascii="Times New Roman" w:eastAsia="Calibri" w:hAnsi="Times New Roman" w:cs="Times New Roman"/>
          <w:szCs w:val="24"/>
          <w:lang w:val="es-PY"/>
        </w:rPr>
      </w:pPr>
    </w:p>
    <w:p w:rsidR="00DD0090" w:rsidRPr="00DD0090" w:rsidRDefault="00DD0090" w:rsidP="00DD0090">
      <w:pPr>
        <w:spacing w:after="0" w:line="240" w:lineRule="auto"/>
        <w:jc w:val="both"/>
        <w:rPr>
          <w:rFonts w:ascii="Times New Roman" w:hAnsi="Times New Roman" w:cs="Times New Roman"/>
          <w:color w:val="000000" w:themeColor="text1"/>
          <w:szCs w:val="24"/>
          <w:shd w:val="clear" w:color="auto" w:fill="FFFFFF"/>
          <w:lang w:val="es-ES"/>
        </w:rPr>
      </w:pPr>
      <w:r w:rsidRPr="00DD0090">
        <w:rPr>
          <w:rFonts w:ascii="Times New Roman" w:hAnsi="Times New Roman" w:cs="Times New Roman"/>
          <w:color w:val="000000" w:themeColor="text1"/>
          <w:szCs w:val="24"/>
          <w:shd w:val="clear" w:color="auto" w:fill="FFFFFF"/>
          <w:lang w:val="es-ES"/>
        </w:rPr>
        <w:t xml:space="preserve">Con este curso podrás trabajar como Perito Tasador para las Organizaciones, Asociaciones así como para las Entidades Aseguradoras, Bancarias, etc. participando en la elaboración de los sistemas de tasación, tanto en la Inspección inmediata como en la Tasación definitiva. </w:t>
      </w:r>
    </w:p>
    <w:p w:rsidR="00DD0090" w:rsidRPr="00DD0090" w:rsidRDefault="00DD0090" w:rsidP="00DD0090">
      <w:pPr>
        <w:spacing w:after="0" w:line="240" w:lineRule="auto"/>
        <w:jc w:val="both"/>
        <w:rPr>
          <w:rFonts w:ascii="Times New Roman" w:hAnsi="Times New Roman" w:cs="Times New Roman"/>
          <w:color w:val="000000" w:themeColor="text1"/>
          <w:szCs w:val="24"/>
          <w:shd w:val="clear" w:color="auto" w:fill="FFFFFF"/>
          <w:lang w:val="es-ES"/>
        </w:rPr>
      </w:pPr>
      <w:r w:rsidRPr="00DD0090">
        <w:rPr>
          <w:rFonts w:ascii="Times New Roman" w:hAnsi="Times New Roman" w:cs="Times New Roman"/>
          <w:color w:val="000000" w:themeColor="text1"/>
          <w:szCs w:val="24"/>
          <w:shd w:val="clear" w:color="auto" w:fill="FFFFFF"/>
          <w:lang w:val="es-ES"/>
        </w:rPr>
        <w:t>Dirigido a: El curso está diseñado para todos aquellos que necesiten una formación específica para trabajar como Peritos Tasadores tanto para particulares como para las Organizaciones, Asociaciones, Entidades ya sea Aseguradoras, Bancarias, etc.; realizando debidamente las peritaciones ante los Juzgados y Tribunales de Justicia y participando en la elaboración de los sistemas de tasación, tanto en la Inspección inmediata como en la Tasación definitiva.</w:t>
      </w:r>
    </w:p>
    <w:p w:rsidR="00DD0090" w:rsidRPr="00DD0090" w:rsidRDefault="00DD0090" w:rsidP="00DD0090">
      <w:pPr>
        <w:spacing w:after="0" w:line="240" w:lineRule="auto"/>
        <w:jc w:val="center"/>
        <w:rPr>
          <w:rFonts w:ascii="Times New Roman" w:eastAsia="Calibri" w:hAnsi="Times New Roman" w:cs="Times New Roman"/>
          <w:szCs w:val="24"/>
          <w:u w:val="single"/>
          <w:lang w:val="es-ES"/>
        </w:rPr>
      </w:pPr>
      <w:r w:rsidRPr="00DD0090">
        <w:rPr>
          <w:rFonts w:ascii="Times New Roman" w:hAnsi="Times New Roman" w:cs="Times New Roman"/>
          <w:color w:val="333333"/>
          <w:szCs w:val="24"/>
          <w:lang w:val="es-ES"/>
        </w:rPr>
        <w:br/>
      </w:r>
      <w:r w:rsidRPr="00DD0090">
        <w:rPr>
          <w:rFonts w:ascii="Times New Roman" w:eastAsia="Calibri" w:hAnsi="Times New Roman" w:cs="Times New Roman"/>
          <w:szCs w:val="24"/>
          <w:u w:val="single"/>
          <w:lang w:val="es-ES"/>
        </w:rPr>
        <w:t>Contenido del Curso</w:t>
      </w:r>
    </w:p>
    <w:p w:rsidR="00DD0090" w:rsidRPr="00DD0090" w:rsidRDefault="00DD0090" w:rsidP="00DD0090">
      <w:pPr>
        <w:spacing w:after="0" w:line="240" w:lineRule="auto"/>
        <w:jc w:val="both"/>
        <w:rPr>
          <w:rFonts w:ascii="Times New Roman" w:eastAsia="Calibri" w:hAnsi="Times New Roman" w:cs="Times New Roman"/>
          <w:szCs w:val="24"/>
          <w:lang w:val="es-ES"/>
        </w:rPr>
      </w:pPr>
    </w:p>
    <w:p w:rsidR="00DD0090" w:rsidRPr="00BB4ECB" w:rsidRDefault="00DD0090" w:rsidP="00DD0090">
      <w:pPr>
        <w:pStyle w:val="Heading1"/>
        <w:jc w:val="both"/>
        <w:rPr>
          <w:rFonts w:ascii="Times New Roman" w:hAnsi="Times New Roman" w:cs="Times New Roman"/>
          <w:bCs w:val="0"/>
          <w:sz w:val="22"/>
        </w:rPr>
      </w:pPr>
      <w:r w:rsidRPr="00BB4ECB">
        <w:rPr>
          <w:rFonts w:ascii="Times New Roman" w:hAnsi="Times New Roman" w:cs="Times New Roman"/>
          <w:bCs w:val="0"/>
          <w:sz w:val="22"/>
        </w:rPr>
        <w:t>MODULO I</w:t>
      </w:r>
    </w:p>
    <w:p w:rsidR="00DD0090" w:rsidRPr="00BB4ECB" w:rsidRDefault="00DD0090" w:rsidP="00DD0090">
      <w:pPr>
        <w:pStyle w:val="BodyText"/>
        <w:rPr>
          <w:sz w:val="22"/>
        </w:rPr>
      </w:pPr>
      <w:r w:rsidRPr="00BB4ECB">
        <w:rPr>
          <w:sz w:val="22"/>
        </w:rPr>
        <w:t xml:space="preserve">Métodos de Valoración, Valuación o Tasación. Generalidades. </w:t>
      </w:r>
    </w:p>
    <w:p w:rsidR="00DD0090" w:rsidRPr="00BB4ECB" w:rsidRDefault="00DD0090" w:rsidP="00DD0090">
      <w:pPr>
        <w:pStyle w:val="BodyText"/>
        <w:rPr>
          <w:sz w:val="22"/>
        </w:rPr>
      </w:pPr>
      <w:r w:rsidRPr="00BB4ECB">
        <w:rPr>
          <w:sz w:val="22"/>
        </w:rPr>
        <w:t xml:space="preserve">Presentación de los Métodos Directos e Indirectos. Concepto y definiciones. </w:t>
      </w:r>
    </w:p>
    <w:p w:rsidR="00DD0090" w:rsidRPr="00BB4ECB" w:rsidRDefault="00DD0090" w:rsidP="00DD0090">
      <w:pPr>
        <w:pStyle w:val="BodyText"/>
        <w:rPr>
          <w:sz w:val="22"/>
        </w:rPr>
      </w:pPr>
      <w:r w:rsidRPr="00BB4ECB">
        <w:rPr>
          <w:sz w:val="22"/>
        </w:rPr>
        <w:t xml:space="preserve">Método Comparativo o de Mercado. </w:t>
      </w:r>
    </w:p>
    <w:p w:rsidR="00DD0090" w:rsidRPr="00BB4ECB" w:rsidRDefault="00DD0090" w:rsidP="00DD0090">
      <w:pPr>
        <w:pStyle w:val="BodyText"/>
        <w:rPr>
          <w:sz w:val="22"/>
        </w:rPr>
      </w:pPr>
      <w:r w:rsidRPr="00BB4ECB">
        <w:rPr>
          <w:sz w:val="22"/>
        </w:rPr>
        <w:t xml:space="preserve">Métodos de Costo o de Reposición o Renovación. </w:t>
      </w:r>
    </w:p>
    <w:p w:rsidR="00DD0090" w:rsidRPr="00BB4ECB" w:rsidRDefault="00DD0090" w:rsidP="00DD0090">
      <w:pPr>
        <w:pStyle w:val="BodyText"/>
        <w:rPr>
          <w:sz w:val="22"/>
        </w:rPr>
      </w:pPr>
      <w:r w:rsidRPr="00BB4ECB">
        <w:rPr>
          <w:sz w:val="22"/>
        </w:rPr>
        <w:t>Método de la Renta o Capitalización.</w:t>
      </w:r>
    </w:p>
    <w:p w:rsidR="00DD0090" w:rsidRPr="00BB4ECB" w:rsidRDefault="00DD0090" w:rsidP="00DD0090">
      <w:pPr>
        <w:pStyle w:val="BodyText"/>
        <w:rPr>
          <w:sz w:val="22"/>
        </w:rPr>
      </w:pPr>
    </w:p>
    <w:p w:rsidR="00DD0090" w:rsidRDefault="00DD0090" w:rsidP="00DD0090">
      <w:pPr>
        <w:pStyle w:val="BodyText"/>
        <w:rPr>
          <w:b/>
          <w:sz w:val="22"/>
          <w:u w:val="single"/>
        </w:rPr>
      </w:pPr>
    </w:p>
    <w:p w:rsidR="000D71DC" w:rsidRDefault="00CD21AD" w:rsidP="00DD0090">
      <w:pPr>
        <w:pStyle w:val="BodyText"/>
        <w:rPr>
          <w:b/>
          <w:sz w:val="22"/>
          <w:u w:val="single"/>
        </w:rPr>
      </w:pPr>
      <w:r>
        <w:rPr>
          <w:noProof/>
          <w:lang w:val="en-US" w:eastAsia="en-US"/>
        </w:rPr>
        <w:lastRenderedPageBreak/>
        <w:drawing>
          <wp:anchor distT="0" distB="0" distL="114300" distR="114300" simplePos="0" relativeHeight="251660288" behindDoc="0" locked="0" layoutInCell="1" allowOverlap="1" wp14:anchorId="2C392860" wp14:editId="27CEBA27">
            <wp:simplePos x="0" y="0"/>
            <wp:positionH relativeFrom="column">
              <wp:posOffset>177165</wp:posOffset>
            </wp:positionH>
            <wp:positionV relativeFrom="paragraph">
              <wp:posOffset>-1122680</wp:posOffset>
            </wp:positionV>
            <wp:extent cx="1238250" cy="92392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23925"/>
                    </a:xfrm>
                    <a:prstGeom prst="rect">
                      <a:avLst/>
                    </a:prstGeom>
                    <a:noFill/>
                  </pic:spPr>
                </pic:pic>
              </a:graphicData>
            </a:graphic>
            <wp14:sizeRelH relativeFrom="page">
              <wp14:pctWidth>0</wp14:pctWidth>
            </wp14:sizeRelH>
            <wp14:sizeRelV relativeFrom="page">
              <wp14:pctHeight>0</wp14:pctHeight>
            </wp14:sizeRelV>
          </wp:anchor>
        </w:drawing>
      </w:r>
    </w:p>
    <w:p w:rsidR="00DD0090" w:rsidRPr="00BB4ECB" w:rsidRDefault="00DD0090" w:rsidP="00DD0090">
      <w:pPr>
        <w:pStyle w:val="BodyText"/>
        <w:rPr>
          <w:b/>
          <w:sz w:val="22"/>
          <w:u w:val="single"/>
        </w:rPr>
      </w:pPr>
      <w:r w:rsidRPr="00BB4ECB">
        <w:rPr>
          <w:b/>
          <w:sz w:val="22"/>
          <w:u w:val="single"/>
        </w:rPr>
        <w:t>TASACIONES INMUEBLES URBANOS</w:t>
      </w:r>
    </w:p>
    <w:p w:rsidR="00DD0090" w:rsidRPr="00BB4ECB" w:rsidRDefault="00DD0090" w:rsidP="00DD0090">
      <w:pPr>
        <w:pStyle w:val="BodyText"/>
        <w:rPr>
          <w:sz w:val="22"/>
          <w:u w:val="single"/>
        </w:rPr>
      </w:pPr>
    </w:p>
    <w:p w:rsidR="00DD0090" w:rsidRPr="00BB4ECB" w:rsidRDefault="00DD0090" w:rsidP="00DD0090">
      <w:pPr>
        <w:pStyle w:val="BodyText"/>
        <w:rPr>
          <w:sz w:val="22"/>
        </w:rPr>
      </w:pPr>
      <w:r w:rsidRPr="00BB4ECB">
        <w:rPr>
          <w:sz w:val="22"/>
        </w:rPr>
        <w:t xml:space="preserve">Los Métodos Comparativos. Método Comparativo de Mercado Homogeneizado. Planilla de Selección de Antecedentes. Planilla de Homogeneización de Antecedentes.  Coeficientes Correctivos. </w:t>
      </w:r>
    </w:p>
    <w:p w:rsidR="00DD0090" w:rsidRPr="00BB4ECB" w:rsidRDefault="00DD0090" w:rsidP="00DD0090">
      <w:pPr>
        <w:pStyle w:val="BodyText"/>
        <w:rPr>
          <w:sz w:val="22"/>
        </w:rPr>
      </w:pPr>
      <w:r w:rsidRPr="00BB4ECB">
        <w:rPr>
          <w:sz w:val="22"/>
        </w:rPr>
        <w:t xml:space="preserve">Método del Valor Físico de Reposición de las Construcciones y Mejoras. Reposición por Cómputo o Presupuesto. Reposición por área Cubierta. </w:t>
      </w:r>
    </w:p>
    <w:p w:rsidR="00DD0090" w:rsidRPr="00BB4ECB" w:rsidRDefault="00DD0090" w:rsidP="00DD0090">
      <w:pPr>
        <w:pStyle w:val="BodyText"/>
        <w:rPr>
          <w:sz w:val="22"/>
        </w:rPr>
      </w:pPr>
      <w:r w:rsidRPr="00BB4ECB">
        <w:rPr>
          <w:sz w:val="22"/>
        </w:rPr>
        <w:t xml:space="preserve">Depreciaciones de Edificios. Causas Físicas y Funcionales. </w:t>
      </w:r>
    </w:p>
    <w:p w:rsidR="00DD0090" w:rsidRPr="00BB4ECB" w:rsidRDefault="00DD0090" w:rsidP="00DD0090">
      <w:pPr>
        <w:pStyle w:val="BodyText"/>
        <w:rPr>
          <w:sz w:val="22"/>
        </w:rPr>
      </w:pPr>
      <w:r w:rsidRPr="00BB4ECB">
        <w:rPr>
          <w:sz w:val="22"/>
        </w:rPr>
        <w:t xml:space="preserve">Métodos. Método de la Línea Recta. Método de la Parábola de </w:t>
      </w:r>
      <w:proofErr w:type="spellStart"/>
      <w:r w:rsidRPr="00BB4ECB">
        <w:rPr>
          <w:sz w:val="22"/>
        </w:rPr>
        <w:t>Kuentzle</w:t>
      </w:r>
      <w:proofErr w:type="spellEnd"/>
      <w:r w:rsidRPr="00BB4ECB">
        <w:rPr>
          <w:sz w:val="22"/>
        </w:rPr>
        <w:t xml:space="preserve">. Método Intermedio de Ross. Método por Estado de Conservación de </w:t>
      </w:r>
      <w:proofErr w:type="spellStart"/>
      <w:r w:rsidRPr="00BB4ECB">
        <w:rPr>
          <w:sz w:val="22"/>
        </w:rPr>
        <w:t>Heidecke</w:t>
      </w:r>
      <w:proofErr w:type="spellEnd"/>
      <w:r w:rsidRPr="00BB4ECB">
        <w:rPr>
          <w:sz w:val="22"/>
        </w:rPr>
        <w:t xml:space="preserve">. Método de Ross – </w:t>
      </w:r>
      <w:proofErr w:type="spellStart"/>
      <w:r w:rsidRPr="00BB4ECB">
        <w:rPr>
          <w:sz w:val="22"/>
        </w:rPr>
        <w:t>Heidecke</w:t>
      </w:r>
      <w:proofErr w:type="spellEnd"/>
      <w:r w:rsidRPr="00BB4ECB">
        <w:rPr>
          <w:sz w:val="22"/>
        </w:rPr>
        <w:t xml:space="preserve">. </w:t>
      </w:r>
    </w:p>
    <w:p w:rsidR="00DD0090" w:rsidRPr="00E5717D" w:rsidRDefault="00DD0090" w:rsidP="00DD0090">
      <w:pPr>
        <w:jc w:val="both"/>
        <w:rPr>
          <w:rFonts w:ascii="Times New Roman" w:hAnsi="Times New Roman" w:cs="Times New Roman"/>
          <w:szCs w:val="24"/>
          <w:lang w:val="es-ES"/>
        </w:rPr>
      </w:pPr>
    </w:p>
    <w:p w:rsidR="00DD0090" w:rsidRPr="00BB4ECB" w:rsidRDefault="00DD0090" w:rsidP="00DD0090">
      <w:pPr>
        <w:pStyle w:val="Heading1"/>
        <w:jc w:val="both"/>
        <w:rPr>
          <w:rFonts w:ascii="Times New Roman" w:hAnsi="Times New Roman" w:cs="Times New Roman"/>
          <w:bCs w:val="0"/>
          <w:sz w:val="22"/>
        </w:rPr>
      </w:pPr>
      <w:r w:rsidRPr="00BB4ECB">
        <w:rPr>
          <w:rFonts w:ascii="Times New Roman" w:hAnsi="Times New Roman" w:cs="Times New Roman"/>
          <w:bCs w:val="0"/>
          <w:sz w:val="22"/>
        </w:rPr>
        <w:t>MODULO II</w:t>
      </w:r>
    </w:p>
    <w:p w:rsidR="00DD0090" w:rsidRPr="00BB4ECB" w:rsidRDefault="00DD0090" w:rsidP="00DD0090">
      <w:pPr>
        <w:pStyle w:val="BodyText"/>
        <w:rPr>
          <w:b/>
          <w:sz w:val="22"/>
          <w:u w:val="single"/>
        </w:rPr>
      </w:pPr>
      <w:r w:rsidRPr="00BB4ECB">
        <w:rPr>
          <w:b/>
          <w:sz w:val="22"/>
          <w:u w:val="single"/>
        </w:rPr>
        <w:t>TASACIONES DE FINCAS RURALES</w:t>
      </w:r>
    </w:p>
    <w:p w:rsidR="00DD0090" w:rsidRPr="00BB4ECB" w:rsidRDefault="00DD0090" w:rsidP="00DD0090">
      <w:pPr>
        <w:pStyle w:val="BodyText"/>
        <w:rPr>
          <w:sz w:val="22"/>
        </w:rPr>
      </w:pPr>
    </w:p>
    <w:p w:rsidR="00DD0090" w:rsidRPr="00BB4ECB" w:rsidRDefault="00DD0090" w:rsidP="00DD0090">
      <w:pPr>
        <w:pStyle w:val="BodyText"/>
        <w:rPr>
          <w:sz w:val="22"/>
        </w:rPr>
      </w:pPr>
      <w:r w:rsidRPr="00BB4ECB">
        <w:rPr>
          <w:sz w:val="22"/>
        </w:rPr>
        <w:t xml:space="preserve">Valoración del Terreno sin Mejoras. Uso de planillas. Planilla de Selección de Antecedentes. Planilla de Homogeneización de Antecedentes. Planilla de Calificación Agropecuaria. Planillas de Dispersión y Cálculos de Ratio. Actualización de Antecedentes. </w:t>
      </w:r>
    </w:p>
    <w:p w:rsidR="00DD0090" w:rsidRPr="00BB4ECB" w:rsidRDefault="00DD0090" w:rsidP="00DD0090">
      <w:pPr>
        <w:pStyle w:val="BodyText"/>
        <w:rPr>
          <w:sz w:val="22"/>
        </w:rPr>
      </w:pPr>
    </w:p>
    <w:p w:rsidR="00DD0090" w:rsidRPr="00BB4ECB" w:rsidRDefault="00DD0090" w:rsidP="00DD0090">
      <w:pPr>
        <w:pStyle w:val="Heading1"/>
        <w:jc w:val="both"/>
        <w:rPr>
          <w:rFonts w:ascii="Times New Roman" w:hAnsi="Times New Roman" w:cs="Times New Roman"/>
          <w:b w:val="0"/>
          <w:bCs w:val="0"/>
          <w:sz w:val="22"/>
        </w:rPr>
      </w:pPr>
      <w:r w:rsidRPr="00BB4ECB">
        <w:rPr>
          <w:rFonts w:ascii="Times New Roman" w:hAnsi="Times New Roman" w:cs="Times New Roman"/>
          <w:b w:val="0"/>
          <w:bCs w:val="0"/>
          <w:sz w:val="22"/>
        </w:rPr>
        <w:t xml:space="preserve">Valoración de las Mejoras. Método del Valor Físico de Reposición de las Construcciones y Mejoras. Reposición por Cómputo o Presupuesto. Reposición por Área Cubierta. </w:t>
      </w:r>
    </w:p>
    <w:p w:rsidR="00DD0090" w:rsidRPr="00BB4ECB" w:rsidRDefault="00DD0090" w:rsidP="00DD0090">
      <w:pPr>
        <w:pStyle w:val="Heading1"/>
        <w:jc w:val="both"/>
        <w:rPr>
          <w:rFonts w:ascii="Times New Roman" w:hAnsi="Times New Roman" w:cs="Times New Roman"/>
          <w:b w:val="0"/>
          <w:bCs w:val="0"/>
          <w:sz w:val="22"/>
        </w:rPr>
      </w:pPr>
    </w:p>
    <w:p w:rsidR="00DD0090" w:rsidRPr="00BB4ECB" w:rsidRDefault="00DD0090" w:rsidP="00DD0090">
      <w:pPr>
        <w:pStyle w:val="Heading1"/>
        <w:jc w:val="both"/>
        <w:rPr>
          <w:rFonts w:ascii="Times New Roman" w:hAnsi="Times New Roman" w:cs="Times New Roman"/>
          <w:b w:val="0"/>
          <w:bCs w:val="0"/>
          <w:sz w:val="22"/>
        </w:rPr>
      </w:pPr>
      <w:r w:rsidRPr="00BB4ECB">
        <w:rPr>
          <w:rFonts w:ascii="Times New Roman" w:hAnsi="Times New Roman" w:cs="Times New Roman"/>
          <w:b w:val="0"/>
          <w:bCs w:val="0"/>
          <w:sz w:val="22"/>
        </w:rPr>
        <w:t xml:space="preserve">Depreciaciones de Mejoras. Causas Físicas y Funcionales. Métodos. Método de la Línea Recta. Método de la Parábola de </w:t>
      </w:r>
      <w:proofErr w:type="spellStart"/>
      <w:r w:rsidRPr="00BB4ECB">
        <w:rPr>
          <w:rFonts w:ascii="Times New Roman" w:hAnsi="Times New Roman" w:cs="Times New Roman"/>
          <w:b w:val="0"/>
          <w:bCs w:val="0"/>
          <w:sz w:val="22"/>
        </w:rPr>
        <w:t>Kuentzle</w:t>
      </w:r>
      <w:proofErr w:type="spellEnd"/>
      <w:r w:rsidRPr="00BB4ECB">
        <w:rPr>
          <w:rFonts w:ascii="Times New Roman" w:hAnsi="Times New Roman" w:cs="Times New Roman"/>
          <w:b w:val="0"/>
          <w:bCs w:val="0"/>
          <w:sz w:val="22"/>
        </w:rPr>
        <w:t xml:space="preserve">. Método Intermedio de Ross. Método por Estado de Conservación de </w:t>
      </w:r>
      <w:proofErr w:type="spellStart"/>
      <w:r w:rsidRPr="00BB4ECB">
        <w:rPr>
          <w:rFonts w:ascii="Times New Roman" w:hAnsi="Times New Roman" w:cs="Times New Roman"/>
          <w:b w:val="0"/>
          <w:bCs w:val="0"/>
          <w:sz w:val="22"/>
        </w:rPr>
        <w:t>Heidecke</w:t>
      </w:r>
      <w:proofErr w:type="spellEnd"/>
      <w:r w:rsidRPr="00BB4ECB">
        <w:rPr>
          <w:rFonts w:ascii="Times New Roman" w:hAnsi="Times New Roman" w:cs="Times New Roman"/>
          <w:b w:val="0"/>
          <w:bCs w:val="0"/>
          <w:sz w:val="22"/>
        </w:rPr>
        <w:t xml:space="preserve">. Método de Ross – </w:t>
      </w:r>
      <w:proofErr w:type="spellStart"/>
      <w:r w:rsidRPr="00BB4ECB">
        <w:rPr>
          <w:rFonts w:ascii="Times New Roman" w:hAnsi="Times New Roman" w:cs="Times New Roman"/>
          <w:b w:val="0"/>
          <w:bCs w:val="0"/>
          <w:sz w:val="22"/>
        </w:rPr>
        <w:t>Heidecke</w:t>
      </w:r>
      <w:proofErr w:type="spellEnd"/>
      <w:r w:rsidRPr="00BB4ECB">
        <w:rPr>
          <w:rFonts w:ascii="Times New Roman" w:hAnsi="Times New Roman" w:cs="Times New Roman"/>
          <w:b w:val="0"/>
          <w:bCs w:val="0"/>
          <w:sz w:val="22"/>
        </w:rPr>
        <w:t xml:space="preserve">. </w:t>
      </w:r>
    </w:p>
    <w:p w:rsidR="00DD0090" w:rsidRPr="00BB4ECB" w:rsidRDefault="00DD0090" w:rsidP="00DD0090">
      <w:pPr>
        <w:pStyle w:val="Heading1"/>
        <w:jc w:val="both"/>
        <w:rPr>
          <w:rFonts w:ascii="Times New Roman" w:hAnsi="Times New Roman" w:cs="Times New Roman"/>
          <w:b w:val="0"/>
          <w:bCs w:val="0"/>
          <w:sz w:val="22"/>
        </w:rPr>
      </w:pPr>
    </w:p>
    <w:p w:rsidR="00DD0090" w:rsidRPr="00BB4ECB" w:rsidRDefault="00DD0090" w:rsidP="00DD0090">
      <w:pPr>
        <w:pStyle w:val="Heading1"/>
        <w:jc w:val="both"/>
        <w:rPr>
          <w:rFonts w:ascii="Times New Roman" w:hAnsi="Times New Roman" w:cs="Times New Roman"/>
          <w:b w:val="0"/>
          <w:bCs w:val="0"/>
          <w:sz w:val="22"/>
        </w:rPr>
      </w:pPr>
      <w:r w:rsidRPr="00BB4ECB">
        <w:rPr>
          <w:rFonts w:ascii="Times New Roman" w:hAnsi="Times New Roman" w:cs="Times New Roman"/>
          <w:b w:val="0"/>
          <w:bCs w:val="0"/>
          <w:sz w:val="22"/>
        </w:rPr>
        <w:t>Valoración de Cultivos y Reforestaciones.</w:t>
      </w:r>
    </w:p>
    <w:p w:rsidR="00DD0090" w:rsidRPr="00BB4ECB" w:rsidRDefault="00DD0090" w:rsidP="00DD0090">
      <w:pPr>
        <w:pStyle w:val="Heading1"/>
        <w:jc w:val="both"/>
        <w:rPr>
          <w:rFonts w:ascii="Times New Roman" w:hAnsi="Times New Roman" w:cs="Times New Roman"/>
          <w:b w:val="0"/>
          <w:bCs w:val="0"/>
          <w:sz w:val="22"/>
        </w:rPr>
      </w:pPr>
    </w:p>
    <w:p w:rsidR="00DD0090" w:rsidRPr="00BB4ECB" w:rsidRDefault="00DD0090" w:rsidP="00DD0090">
      <w:pPr>
        <w:pStyle w:val="Heading1"/>
        <w:jc w:val="both"/>
        <w:rPr>
          <w:rFonts w:ascii="Times New Roman" w:hAnsi="Times New Roman" w:cs="Times New Roman"/>
          <w:bCs w:val="0"/>
          <w:sz w:val="22"/>
        </w:rPr>
      </w:pPr>
      <w:r w:rsidRPr="00BB4ECB">
        <w:rPr>
          <w:rFonts w:ascii="Times New Roman" w:hAnsi="Times New Roman" w:cs="Times New Roman"/>
          <w:bCs w:val="0"/>
          <w:sz w:val="22"/>
        </w:rPr>
        <w:t>MODULO III</w:t>
      </w:r>
    </w:p>
    <w:p w:rsidR="00DD0090" w:rsidRPr="00BB4ECB" w:rsidRDefault="00DD0090" w:rsidP="00DD0090">
      <w:pPr>
        <w:pStyle w:val="Heading1"/>
        <w:jc w:val="both"/>
        <w:rPr>
          <w:rFonts w:ascii="Times New Roman" w:hAnsi="Times New Roman" w:cs="Times New Roman"/>
          <w:b w:val="0"/>
          <w:bCs w:val="0"/>
          <w:sz w:val="22"/>
        </w:rPr>
      </w:pPr>
      <w:r w:rsidRPr="00BB4ECB">
        <w:rPr>
          <w:rFonts w:ascii="Times New Roman" w:hAnsi="Times New Roman" w:cs="Times New Roman"/>
          <w:b w:val="0"/>
          <w:bCs w:val="0"/>
          <w:sz w:val="22"/>
        </w:rPr>
        <w:t>Normas Internacionales para Valuación. Normas del Tribunal de Tasaciones de la República Argentina. Normas Nacionales de Valuación. Resolución SB. SG. Nº 220/2002, Resolución SB. SG. Nº 288/2002. Condiciones para registrarse como Perito Valuador Independiente.</w:t>
      </w:r>
    </w:p>
    <w:p w:rsidR="00DD0090" w:rsidRPr="00DD0090" w:rsidRDefault="00DD0090" w:rsidP="00DD0090">
      <w:pPr>
        <w:spacing w:after="0"/>
        <w:jc w:val="both"/>
        <w:rPr>
          <w:rFonts w:ascii="Times New Roman" w:hAnsi="Times New Roman" w:cs="Times New Roman"/>
          <w:szCs w:val="24"/>
          <w:lang w:val="es-ES"/>
        </w:rPr>
      </w:pPr>
    </w:p>
    <w:p w:rsidR="00DD0090" w:rsidRPr="00BB4ECB" w:rsidRDefault="00DD0090" w:rsidP="00DD0090">
      <w:pPr>
        <w:pStyle w:val="Heading1"/>
        <w:jc w:val="both"/>
        <w:rPr>
          <w:rFonts w:ascii="Times New Roman" w:hAnsi="Times New Roman" w:cs="Times New Roman"/>
          <w:b w:val="0"/>
          <w:bCs w:val="0"/>
          <w:sz w:val="22"/>
        </w:rPr>
      </w:pPr>
      <w:r w:rsidRPr="00BB4ECB">
        <w:rPr>
          <w:rFonts w:ascii="Times New Roman" w:hAnsi="Times New Roman" w:cs="Times New Roman"/>
          <w:b w:val="0"/>
          <w:bCs w:val="0"/>
          <w:sz w:val="22"/>
        </w:rPr>
        <w:t xml:space="preserve">Formas de Presentación de Certificados de Valuación. Inmuebles. Elementos Indispensables que deben constar en los Informes. Referencias y Antecedentes de los Informes. Ubicación del Inmueble utilizando GPS. Ejemplos y Casos Prácticos. Elaboración de un Trabajo a Campo. </w:t>
      </w:r>
    </w:p>
    <w:p w:rsidR="00DD0090" w:rsidRPr="00BB4ECB" w:rsidRDefault="00DD0090" w:rsidP="00DD0090">
      <w:pPr>
        <w:pStyle w:val="Heading1"/>
        <w:jc w:val="both"/>
        <w:rPr>
          <w:rFonts w:ascii="Times New Roman" w:hAnsi="Times New Roman" w:cs="Times New Roman"/>
          <w:b w:val="0"/>
          <w:bCs w:val="0"/>
          <w:sz w:val="22"/>
        </w:rPr>
      </w:pPr>
      <w:r w:rsidRPr="00BB4ECB">
        <w:rPr>
          <w:rFonts w:ascii="Times New Roman" w:hAnsi="Times New Roman" w:cs="Times New Roman"/>
          <w:b w:val="0"/>
          <w:bCs w:val="0"/>
          <w:sz w:val="22"/>
        </w:rPr>
        <w:t xml:space="preserve">Informaciones útiles Relacionadas al Proceso de Tasación, Páginas de Consultas en Web, Datos de Referencia, etc.    </w:t>
      </w:r>
    </w:p>
    <w:p w:rsidR="00A51181" w:rsidRDefault="00A51181" w:rsidP="00FB53A4">
      <w:pPr>
        <w:pStyle w:val="NoSpacing"/>
        <w:rPr>
          <w:rFonts w:ascii="Times New Roman" w:hAnsi="Times New Roman" w:cs="Times New Roman"/>
          <w:sz w:val="24"/>
          <w:lang w:val="es-ES"/>
        </w:rPr>
      </w:pPr>
    </w:p>
    <w:p w:rsidR="00A51181" w:rsidRDefault="000D71DC" w:rsidP="00E21712">
      <w:pPr>
        <w:pStyle w:val="NoSpacing"/>
        <w:jc w:val="center"/>
        <w:rPr>
          <w:rFonts w:ascii="Times New Roman" w:hAnsi="Times New Roman" w:cs="Times New Roman"/>
          <w:sz w:val="24"/>
          <w:lang w:val="es-ES"/>
        </w:rPr>
      </w:pPr>
      <w:r>
        <w:rPr>
          <w:rFonts w:ascii="Times New Roman" w:hAnsi="Times New Roman" w:cs="Times New Roman"/>
          <w:sz w:val="24"/>
          <w:lang w:val="es-ES"/>
        </w:rPr>
        <w:t>************************************************************************</w:t>
      </w:r>
    </w:p>
    <w:p w:rsidR="00A51181" w:rsidRPr="00E808AC" w:rsidRDefault="00A51181" w:rsidP="00FB53A4">
      <w:pPr>
        <w:pStyle w:val="NoSpacing"/>
        <w:rPr>
          <w:rFonts w:ascii="Times New Roman" w:hAnsi="Times New Roman" w:cs="Times New Roman"/>
          <w:sz w:val="24"/>
          <w:lang w:val="es-ES"/>
        </w:rPr>
      </w:pPr>
    </w:p>
    <w:p w:rsidR="00E808AC" w:rsidRPr="00E808AC" w:rsidRDefault="00E808AC" w:rsidP="00FB53A4">
      <w:pPr>
        <w:pStyle w:val="NoSpacing"/>
        <w:rPr>
          <w:rFonts w:ascii="Times New Roman" w:hAnsi="Times New Roman" w:cs="Times New Roman"/>
          <w:b/>
          <w:sz w:val="24"/>
          <w:lang w:val="es-ES"/>
        </w:rPr>
      </w:pPr>
    </w:p>
    <w:p w:rsidR="00E808AC" w:rsidRPr="00E808AC" w:rsidRDefault="00E808AC" w:rsidP="00FB53A4">
      <w:pPr>
        <w:pStyle w:val="NoSpacing"/>
        <w:rPr>
          <w:rFonts w:ascii="Times New Roman" w:hAnsi="Times New Roman" w:cs="Times New Roman"/>
          <w:b/>
          <w:sz w:val="24"/>
          <w:lang w:val="es-ES"/>
        </w:rPr>
      </w:pPr>
    </w:p>
    <w:p w:rsidR="00C4258A" w:rsidRPr="00E808AC" w:rsidRDefault="00C4258A">
      <w:pPr>
        <w:pStyle w:val="NoSpacing"/>
        <w:rPr>
          <w:lang w:val="es-ES"/>
        </w:rPr>
      </w:pPr>
    </w:p>
    <w:sectPr w:rsidR="00C4258A" w:rsidRPr="00E808AC" w:rsidSect="00CA2B98">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E41" w:rsidRDefault="00D56E41" w:rsidP="001401BF">
      <w:pPr>
        <w:spacing w:after="0" w:line="240" w:lineRule="auto"/>
      </w:pPr>
      <w:r>
        <w:separator/>
      </w:r>
    </w:p>
  </w:endnote>
  <w:endnote w:type="continuationSeparator" w:id="0">
    <w:p w:rsidR="00D56E41" w:rsidRDefault="00D56E41" w:rsidP="00140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E41" w:rsidRDefault="00D56E41" w:rsidP="001401BF">
      <w:pPr>
        <w:spacing w:after="0" w:line="240" w:lineRule="auto"/>
      </w:pPr>
      <w:r>
        <w:separator/>
      </w:r>
    </w:p>
  </w:footnote>
  <w:footnote w:type="continuationSeparator" w:id="0">
    <w:p w:rsidR="00D56E41" w:rsidRDefault="00D56E41" w:rsidP="001401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557" w:type="dxa"/>
      <w:tblInd w:w="3444" w:type="dxa"/>
      <w:tblCellMar>
        <w:left w:w="70" w:type="dxa"/>
        <w:right w:w="70" w:type="dxa"/>
      </w:tblCellMar>
      <w:tblLook w:val="04A0" w:firstRow="1" w:lastRow="0" w:firstColumn="1" w:lastColumn="0" w:noHBand="0" w:noVBand="1"/>
    </w:tblPr>
    <w:tblGrid>
      <w:gridCol w:w="5557"/>
    </w:tblGrid>
    <w:tr w:rsidR="001401BF" w:rsidRPr="00E5717D" w:rsidTr="001401BF">
      <w:trPr>
        <w:trHeight w:val="375"/>
      </w:trPr>
      <w:tc>
        <w:tcPr>
          <w:tcW w:w="5557" w:type="dxa"/>
          <w:tcBorders>
            <w:top w:val="nil"/>
            <w:left w:val="nil"/>
            <w:bottom w:val="nil"/>
            <w:right w:val="nil"/>
          </w:tcBorders>
          <w:shd w:val="clear" w:color="auto" w:fill="auto"/>
          <w:noWrap/>
          <w:vAlign w:val="bottom"/>
          <w:hideMark/>
        </w:tcPr>
        <w:p w:rsidR="001401BF" w:rsidRPr="00E808AC" w:rsidRDefault="001401BF" w:rsidP="001401BF">
          <w:pPr>
            <w:spacing w:after="0" w:line="240" w:lineRule="auto"/>
            <w:rPr>
              <w:rFonts w:ascii="Monotype Corsiva" w:eastAsia="Times New Roman" w:hAnsi="Monotype Corsiva" w:cs="Arial"/>
              <w:color w:val="008000"/>
              <w:sz w:val="28"/>
              <w:szCs w:val="28"/>
              <w:lang w:val="es-ES" w:eastAsia="es-PY"/>
              <w14:shadow w14:blurRad="50800" w14:dist="38100" w14:dir="2700000" w14:sx="100000" w14:sy="100000" w14:kx="0" w14:ky="0" w14:algn="tl">
                <w14:srgbClr w14:val="000000">
                  <w14:alpha w14:val="60000"/>
                </w14:srgbClr>
              </w14:shadow>
            </w:rPr>
          </w:pPr>
          <w:r w:rsidRPr="00E808AC">
            <w:rPr>
              <w:rFonts w:ascii="Monotype Corsiva" w:eastAsia="Times New Roman" w:hAnsi="Monotype Corsiva" w:cs="Arial"/>
              <w:color w:val="008000"/>
              <w:sz w:val="28"/>
              <w:szCs w:val="28"/>
              <w:lang w:val="es-ES" w:eastAsia="es-PY"/>
              <w14:shadow w14:blurRad="50800" w14:dist="38100" w14:dir="2700000" w14:sx="100000" w14:sy="100000" w14:kx="0" w14:ky="0" w14:algn="tl">
                <w14:srgbClr w14:val="000000">
                  <w14:alpha w14:val="60000"/>
                </w14:srgbClr>
              </w14:shadow>
            </w:rPr>
            <w:t>Asociación de Ingenieros Agrónomos del Paraguay</w:t>
          </w:r>
        </w:p>
      </w:tc>
    </w:tr>
    <w:tr w:rsidR="001401BF" w:rsidRPr="00E5717D" w:rsidTr="001401BF">
      <w:trPr>
        <w:trHeight w:val="375"/>
      </w:trPr>
      <w:tc>
        <w:tcPr>
          <w:tcW w:w="5557" w:type="dxa"/>
          <w:tcBorders>
            <w:top w:val="nil"/>
            <w:left w:val="nil"/>
            <w:bottom w:val="nil"/>
            <w:right w:val="nil"/>
          </w:tcBorders>
          <w:shd w:val="clear" w:color="auto" w:fill="auto"/>
          <w:noWrap/>
          <w:vAlign w:val="bottom"/>
          <w:hideMark/>
        </w:tcPr>
        <w:p w:rsidR="001401BF" w:rsidRPr="00E808AC" w:rsidRDefault="001401BF" w:rsidP="001401BF">
          <w:pPr>
            <w:spacing w:after="0" w:line="240" w:lineRule="auto"/>
            <w:rPr>
              <w:rFonts w:ascii="Times New Roman" w:eastAsia="Times New Roman" w:hAnsi="Times New Roman" w:cs="Times New Roman"/>
              <w:color w:val="008000"/>
              <w:sz w:val="20"/>
              <w:szCs w:val="20"/>
              <w:lang w:val="es-ES" w:eastAsia="es-PY"/>
            </w:rPr>
          </w:pPr>
          <w:r w:rsidRPr="00E808AC">
            <w:rPr>
              <w:rFonts w:ascii="Times New Roman" w:eastAsia="Times New Roman" w:hAnsi="Times New Roman" w:cs="Times New Roman"/>
              <w:color w:val="008000"/>
              <w:sz w:val="20"/>
              <w:szCs w:val="20"/>
              <w:lang w:val="es-ES" w:eastAsia="es-PY"/>
            </w:rPr>
            <w:t>Fundada el 20 de Septiembre de 1.957</w:t>
          </w:r>
        </w:p>
      </w:tc>
    </w:tr>
    <w:tr w:rsidR="001401BF" w:rsidRPr="00E5717D" w:rsidTr="001401BF">
      <w:trPr>
        <w:trHeight w:val="255"/>
      </w:trPr>
      <w:tc>
        <w:tcPr>
          <w:tcW w:w="5557" w:type="dxa"/>
          <w:tcBorders>
            <w:top w:val="nil"/>
            <w:left w:val="nil"/>
            <w:bottom w:val="nil"/>
            <w:right w:val="nil"/>
          </w:tcBorders>
          <w:shd w:val="clear" w:color="auto" w:fill="auto"/>
          <w:noWrap/>
          <w:vAlign w:val="bottom"/>
          <w:hideMark/>
        </w:tcPr>
        <w:p w:rsidR="001401BF" w:rsidRPr="00E808AC" w:rsidRDefault="001401BF" w:rsidP="001401BF">
          <w:pPr>
            <w:spacing w:after="0" w:line="240" w:lineRule="auto"/>
            <w:rPr>
              <w:rFonts w:ascii="Times New Roman" w:eastAsia="Times New Roman" w:hAnsi="Times New Roman" w:cs="Times New Roman"/>
              <w:color w:val="008000"/>
              <w:sz w:val="20"/>
              <w:szCs w:val="20"/>
              <w:lang w:val="es-ES" w:eastAsia="es-PY"/>
            </w:rPr>
          </w:pPr>
          <w:r w:rsidRPr="00E808AC">
            <w:rPr>
              <w:rFonts w:ascii="Times New Roman" w:eastAsia="Times New Roman" w:hAnsi="Times New Roman" w:cs="Times New Roman"/>
              <w:color w:val="008000"/>
              <w:sz w:val="20"/>
              <w:szCs w:val="20"/>
              <w:lang w:val="es-ES" w:eastAsia="es-PY"/>
            </w:rPr>
            <w:t>Decreto del P. E.  Nº.18.887/61</w:t>
          </w:r>
        </w:p>
      </w:tc>
    </w:tr>
    <w:tr w:rsidR="001401BF" w:rsidRPr="00E5717D" w:rsidTr="001401BF">
      <w:trPr>
        <w:trHeight w:val="255"/>
      </w:trPr>
      <w:tc>
        <w:tcPr>
          <w:tcW w:w="5557" w:type="dxa"/>
          <w:tcBorders>
            <w:top w:val="nil"/>
            <w:left w:val="nil"/>
            <w:bottom w:val="nil"/>
            <w:right w:val="nil"/>
          </w:tcBorders>
          <w:shd w:val="clear" w:color="auto" w:fill="auto"/>
          <w:noWrap/>
          <w:vAlign w:val="bottom"/>
          <w:hideMark/>
        </w:tcPr>
        <w:p w:rsidR="001401BF" w:rsidRPr="00E808AC" w:rsidRDefault="00BA678F" w:rsidP="001401BF">
          <w:pPr>
            <w:spacing w:after="0" w:line="240" w:lineRule="auto"/>
            <w:rPr>
              <w:rFonts w:ascii="Times New Roman" w:eastAsia="Times New Roman" w:hAnsi="Times New Roman" w:cs="Times New Roman"/>
              <w:color w:val="008000"/>
              <w:sz w:val="20"/>
              <w:szCs w:val="20"/>
              <w:lang w:val="es-ES" w:eastAsia="es-PY"/>
            </w:rPr>
          </w:pPr>
          <w:r w:rsidRPr="00E808AC">
            <w:rPr>
              <w:rFonts w:ascii="Times New Roman" w:eastAsia="Times New Roman" w:hAnsi="Times New Roman" w:cs="Times New Roman"/>
              <w:color w:val="008000"/>
              <w:sz w:val="20"/>
              <w:szCs w:val="20"/>
              <w:lang w:val="es-ES" w:eastAsia="es-PY"/>
            </w:rPr>
            <w:t>Itapúa</w:t>
          </w:r>
          <w:r w:rsidR="001401BF" w:rsidRPr="00E808AC">
            <w:rPr>
              <w:rFonts w:ascii="Times New Roman" w:eastAsia="Times New Roman" w:hAnsi="Times New Roman" w:cs="Times New Roman"/>
              <w:color w:val="008000"/>
              <w:sz w:val="20"/>
              <w:szCs w:val="20"/>
              <w:lang w:val="es-ES" w:eastAsia="es-PY"/>
            </w:rPr>
            <w:t xml:space="preserve"> Nº 938 c/ Stma. Trinidad (Barrio Trinidad)</w:t>
          </w:r>
        </w:p>
      </w:tc>
    </w:tr>
    <w:tr w:rsidR="001401BF" w:rsidRPr="001401BF" w:rsidTr="001401BF">
      <w:trPr>
        <w:trHeight w:val="255"/>
      </w:trPr>
      <w:tc>
        <w:tcPr>
          <w:tcW w:w="5557" w:type="dxa"/>
          <w:tcBorders>
            <w:top w:val="nil"/>
            <w:left w:val="nil"/>
            <w:bottom w:val="nil"/>
            <w:right w:val="nil"/>
          </w:tcBorders>
          <w:shd w:val="clear" w:color="auto" w:fill="auto"/>
          <w:noWrap/>
          <w:vAlign w:val="bottom"/>
          <w:hideMark/>
        </w:tcPr>
        <w:p w:rsidR="001401BF" w:rsidRPr="001401BF" w:rsidRDefault="001401BF" w:rsidP="001401BF">
          <w:pPr>
            <w:spacing w:after="0" w:line="240" w:lineRule="auto"/>
            <w:rPr>
              <w:rFonts w:ascii="Times New Roman" w:eastAsia="Times New Roman" w:hAnsi="Times New Roman" w:cs="Times New Roman"/>
              <w:color w:val="008000"/>
              <w:sz w:val="20"/>
              <w:szCs w:val="20"/>
              <w:lang w:eastAsia="es-PY"/>
            </w:rPr>
          </w:pPr>
          <w:r w:rsidRPr="001401BF">
            <w:rPr>
              <w:rFonts w:ascii="Times New Roman" w:eastAsia="Times New Roman" w:hAnsi="Times New Roman" w:cs="Times New Roman"/>
              <w:color w:val="008000"/>
              <w:sz w:val="20"/>
              <w:szCs w:val="20"/>
              <w:lang w:eastAsia="es-PY"/>
            </w:rPr>
            <w:t xml:space="preserve">Tel: </w:t>
          </w:r>
          <w:r w:rsidR="00DE230A">
            <w:rPr>
              <w:rFonts w:ascii="Times New Roman" w:eastAsia="Times New Roman" w:hAnsi="Times New Roman" w:cs="Times New Roman"/>
              <w:color w:val="008000"/>
              <w:sz w:val="20"/>
              <w:szCs w:val="20"/>
              <w:lang w:eastAsia="es-PY"/>
            </w:rPr>
            <w:t>021-295</w:t>
          </w:r>
          <w:r w:rsidRPr="001401BF">
            <w:rPr>
              <w:rFonts w:ascii="Times New Roman" w:eastAsia="Times New Roman" w:hAnsi="Times New Roman" w:cs="Times New Roman"/>
              <w:color w:val="008000"/>
              <w:sz w:val="20"/>
              <w:szCs w:val="20"/>
              <w:lang w:eastAsia="es-PY"/>
            </w:rPr>
            <w:t>233 – secretaria@aiap.org.py</w:t>
          </w:r>
        </w:p>
      </w:tc>
    </w:tr>
  </w:tbl>
  <w:p w:rsidR="001401BF" w:rsidRDefault="001401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81466F"/>
    <w:multiLevelType w:val="hybridMultilevel"/>
    <w:tmpl w:val="74C29DE6"/>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6F8642A5"/>
    <w:multiLevelType w:val="hybridMultilevel"/>
    <w:tmpl w:val="0F00D310"/>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1BF"/>
    <w:rsid w:val="000015E1"/>
    <w:rsid w:val="00040E49"/>
    <w:rsid w:val="0005433B"/>
    <w:rsid w:val="00065FF8"/>
    <w:rsid w:val="00076550"/>
    <w:rsid w:val="00091321"/>
    <w:rsid w:val="000B59A2"/>
    <w:rsid w:val="000B65C6"/>
    <w:rsid w:val="000C2B43"/>
    <w:rsid w:val="000D71DC"/>
    <w:rsid w:val="00127E67"/>
    <w:rsid w:val="001401BF"/>
    <w:rsid w:val="0022195D"/>
    <w:rsid w:val="00244495"/>
    <w:rsid w:val="00264DFD"/>
    <w:rsid w:val="00291786"/>
    <w:rsid w:val="002C2EC0"/>
    <w:rsid w:val="002C508F"/>
    <w:rsid w:val="002F494D"/>
    <w:rsid w:val="00377590"/>
    <w:rsid w:val="00422D82"/>
    <w:rsid w:val="0042647D"/>
    <w:rsid w:val="00434111"/>
    <w:rsid w:val="00443B51"/>
    <w:rsid w:val="004C4B7D"/>
    <w:rsid w:val="004F77D9"/>
    <w:rsid w:val="005753A5"/>
    <w:rsid w:val="005A7892"/>
    <w:rsid w:val="005C3D89"/>
    <w:rsid w:val="005F0EE1"/>
    <w:rsid w:val="00616A72"/>
    <w:rsid w:val="00676707"/>
    <w:rsid w:val="00694B3C"/>
    <w:rsid w:val="006A0B4C"/>
    <w:rsid w:val="006B5503"/>
    <w:rsid w:val="006E7AAC"/>
    <w:rsid w:val="007249B2"/>
    <w:rsid w:val="007D7EE5"/>
    <w:rsid w:val="008055FE"/>
    <w:rsid w:val="008142DB"/>
    <w:rsid w:val="00827779"/>
    <w:rsid w:val="0088127B"/>
    <w:rsid w:val="008D4BE8"/>
    <w:rsid w:val="008E33CB"/>
    <w:rsid w:val="0094638F"/>
    <w:rsid w:val="00950BE1"/>
    <w:rsid w:val="009539B4"/>
    <w:rsid w:val="0099418B"/>
    <w:rsid w:val="009A3ABD"/>
    <w:rsid w:val="00A51181"/>
    <w:rsid w:val="00A636AF"/>
    <w:rsid w:val="00A9775E"/>
    <w:rsid w:val="00B1400A"/>
    <w:rsid w:val="00B24AE7"/>
    <w:rsid w:val="00B40B9B"/>
    <w:rsid w:val="00B50AA3"/>
    <w:rsid w:val="00BA35FA"/>
    <w:rsid w:val="00BA678F"/>
    <w:rsid w:val="00BC501B"/>
    <w:rsid w:val="00C4258A"/>
    <w:rsid w:val="00CA2B98"/>
    <w:rsid w:val="00CD21AD"/>
    <w:rsid w:val="00D26848"/>
    <w:rsid w:val="00D33749"/>
    <w:rsid w:val="00D56E41"/>
    <w:rsid w:val="00D6128E"/>
    <w:rsid w:val="00D6589C"/>
    <w:rsid w:val="00D977A6"/>
    <w:rsid w:val="00DD0090"/>
    <w:rsid w:val="00DE08CD"/>
    <w:rsid w:val="00DE230A"/>
    <w:rsid w:val="00DE4FF4"/>
    <w:rsid w:val="00E21712"/>
    <w:rsid w:val="00E5717D"/>
    <w:rsid w:val="00E61A3A"/>
    <w:rsid w:val="00E628F9"/>
    <w:rsid w:val="00E808AC"/>
    <w:rsid w:val="00F03870"/>
    <w:rsid w:val="00F07490"/>
    <w:rsid w:val="00F25475"/>
    <w:rsid w:val="00F900D7"/>
    <w:rsid w:val="00FA0152"/>
    <w:rsid w:val="00FB53A4"/>
    <w:rsid w:val="00FB7742"/>
    <w:rsid w:val="00FD75A5"/>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D0090"/>
    <w:pPr>
      <w:keepNext/>
      <w:spacing w:after="0" w:line="240" w:lineRule="auto"/>
      <w:outlineLvl w:val="0"/>
    </w:pPr>
    <w:rPr>
      <w:rFonts w:ascii="Arial" w:eastAsia="Times New Roman" w:hAnsi="Arial" w:cs="Arial"/>
      <w:b/>
      <w:bCs/>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401BF"/>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1401BF"/>
  </w:style>
  <w:style w:type="paragraph" w:styleId="Footer">
    <w:name w:val="footer"/>
    <w:basedOn w:val="Normal"/>
    <w:link w:val="FooterChar"/>
    <w:uiPriority w:val="99"/>
    <w:semiHidden/>
    <w:unhideWhenUsed/>
    <w:rsid w:val="001401BF"/>
    <w:pPr>
      <w:tabs>
        <w:tab w:val="center" w:pos="4419"/>
        <w:tab w:val="right" w:pos="8838"/>
      </w:tabs>
      <w:spacing w:after="0" w:line="240" w:lineRule="auto"/>
    </w:pPr>
  </w:style>
  <w:style w:type="character" w:customStyle="1" w:styleId="FooterChar">
    <w:name w:val="Footer Char"/>
    <w:basedOn w:val="DefaultParagraphFont"/>
    <w:link w:val="Footer"/>
    <w:uiPriority w:val="99"/>
    <w:semiHidden/>
    <w:rsid w:val="001401BF"/>
  </w:style>
  <w:style w:type="paragraph" w:styleId="NoSpacing">
    <w:name w:val="No Spacing"/>
    <w:uiPriority w:val="1"/>
    <w:qFormat/>
    <w:rsid w:val="00C4258A"/>
    <w:pPr>
      <w:spacing w:after="0" w:line="240" w:lineRule="auto"/>
    </w:pPr>
  </w:style>
  <w:style w:type="paragraph" w:styleId="ListParagraph">
    <w:name w:val="List Paragraph"/>
    <w:basedOn w:val="Normal"/>
    <w:uiPriority w:val="34"/>
    <w:qFormat/>
    <w:rsid w:val="00443B51"/>
    <w:pPr>
      <w:ind w:left="720"/>
      <w:contextualSpacing/>
    </w:pPr>
  </w:style>
  <w:style w:type="character" w:styleId="Strong">
    <w:name w:val="Strong"/>
    <w:basedOn w:val="DefaultParagraphFont"/>
    <w:uiPriority w:val="22"/>
    <w:qFormat/>
    <w:rsid w:val="00FB53A4"/>
    <w:rPr>
      <w:b/>
      <w:bCs/>
    </w:rPr>
  </w:style>
  <w:style w:type="paragraph" w:styleId="NormalWeb">
    <w:name w:val="Normal (Web)"/>
    <w:basedOn w:val="Normal"/>
    <w:uiPriority w:val="99"/>
    <w:semiHidden/>
    <w:unhideWhenUsed/>
    <w:rsid w:val="00827779"/>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styleId="BalloonText">
    <w:name w:val="Balloon Text"/>
    <w:basedOn w:val="Normal"/>
    <w:link w:val="BalloonTextChar"/>
    <w:uiPriority w:val="99"/>
    <w:semiHidden/>
    <w:unhideWhenUsed/>
    <w:rsid w:val="000B65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65C6"/>
    <w:rPr>
      <w:rFonts w:ascii="Tahoma" w:hAnsi="Tahoma" w:cs="Tahoma"/>
      <w:sz w:val="16"/>
      <w:szCs w:val="16"/>
    </w:rPr>
  </w:style>
  <w:style w:type="character" w:customStyle="1" w:styleId="Heading1Char">
    <w:name w:val="Heading 1 Char"/>
    <w:basedOn w:val="DefaultParagraphFont"/>
    <w:link w:val="Heading1"/>
    <w:rsid w:val="00DD0090"/>
    <w:rPr>
      <w:rFonts w:ascii="Arial" w:eastAsia="Times New Roman" w:hAnsi="Arial" w:cs="Arial"/>
      <w:b/>
      <w:bCs/>
      <w:sz w:val="24"/>
      <w:szCs w:val="24"/>
      <w:lang w:val="es-ES" w:eastAsia="es-ES"/>
    </w:rPr>
  </w:style>
  <w:style w:type="paragraph" w:styleId="BodyText">
    <w:name w:val="Body Text"/>
    <w:basedOn w:val="Normal"/>
    <w:link w:val="BodyTextChar"/>
    <w:rsid w:val="00DD0090"/>
    <w:pPr>
      <w:spacing w:after="0" w:line="240" w:lineRule="auto"/>
      <w:jc w:val="both"/>
    </w:pPr>
    <w:rPr>
      <w:rFonts w:ascii="Times New Roman" w:eastAsia="Times New Roman" w:hAnsi="Times New Roman" w:cs="Times New Roman"/>
      <w:sz w:val="24"/>
      <w:szCs w:val="24"/>
      <w:lang w:val="es-ES" w:eastAsia="es-ES"/>
    </w:rPr>
  </w:style>
  <w:style w:type="character" w:customStyle="1" w:styleId="BodyTextChar">
    <w:name w:val="Body Text Char"/>
    <w:basedOn w:val="DefaultParagraphFont"/>
    <w:link w:val="BodyText"/>
    <w:rsid w:val="00DD0090"/>
    <w:rPr>
      <w:rFonts w:ascii="Times New Roman" w:eastAsia="Times New Roman" w:hAnsi="Times New Roman" w:cs="Times New Roman"/>
      <w:sz w:val="24"/>
      <w:szCs w:val="24"/>
      <w:lang w:val="es-ES" w:eastAsia="es-ES"/>
    </w:rPr>
  </w:style>
  <w:style w:type="character" w:styleId="Hyperlink">
    <w:name w:val="Hyperlink"/>
    <w:basedOn w:val="DefaultParagraphFont"/>
    <w:uiPriority w:val="99"/>
    <w:unhideWhenUsed/>
    <w:rsid w:val="00DD009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D0090"/>
    <w:pPr>
      <w:keepNext/>
      <w:spacing w:after="0" w:line="240" w:lineRule="auto"/>
      <w:outlineLvl w:val="0"/>
    </w:pPr>
    <w:rPr>
      <w:rFonts w:ascii="Arial" w:eastAsia="Times New Roman" w:hAnsi="Arial" w:cs="Arial"/>
      <w:b/>
      <w:bCs/>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401BF"/>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1401BF"/>
  </w:style>
  <w:style w:type="paragraph" w:styleId="Footer">
    <w:name w:val="footer"/>
    <w:basedOn w:val="Normal"/>
    <w:link w:val="FooterChar"/>
    <w:uiPriority w:val="99"/>
    <w:semiHidden/>
    <w:unhideWhenUsed/>
    <w:rsid w:val="001401BF"/>
    <w:pPr>
      <w:tabs>
        <w:tab w:val="center" w:pos="4419"/>
        <w:tab w:val="right" w:pos="8838"/>
      </w:tabs>
      <w:spacing w:after="0" w:line="240" w:lineRule="auto"/>
    </w:pPr>
  </w:style>
  <w:style w:type="character" w:customStyle="1" w:styleId="FooterChar">
    <w:name w:val="Footer Char"/>
    <w:basedOn w:val="DefaultParagraphFont"/>
    <w:link w:val="Footer"/>
    <w:uiPriority w:val="99"/>
    <w:semiHidden/>
    <w:rsid w:val="001401BF"/>
  </w:style>
  <w:style w:type="paragraph" w:styleId="NoSpacing">
    <w:name w:val="No Spacing"/>
    <w:uiPriority w:val="1"/>
    <w:qFormat/>
    <w:rsid w:val="00C4258A"/>
    <w:pPr>
      <w:spacing w:after="0" w:line="240" w:lineRule="auto"/>
    </w:pPr>
  </w:style>
  <w:style w:type="paragraph" w:styleId="ListParagraph">
    <w:name w:val="List Paragraph"/>
    <w:basedOn w:val="Normal"/>
    <w:uiPriority w:val="34"/>
    <w:qFormat/>
    <w:rsid w:val="00443B51"/>
    <w:pPr>
      <w:ind w:left="720"/>
      <w:contextualSpacing/>
    </w:pPr>
  </w:style>
  <w:style w:type="character" w:styleId="Strong">
    <w:name w:val="Strong"/>
    <w:basedOn w:val="DefaultParagraphFont"/>
    <w:uiPriority w:val="22"/>
    <w:qFormat/>
    <w:rsid w:val="00FB53A4"/>
    <w:rPr>
      <w:b/>
      <w:bCs/>
    </w:rPr>
  </w:style>
  <w:style w:type="paragraph" w:styleId="NormalWeb">
    <w:name w:val="Normal (Web)"/>
    <w:basedOn w:val="Normal"/>
    <w:uiPriority w:val="99"/>
    <w:semiHidden/>
    <w:unhideWhenUsed/>
    <w:rsid w:val="00827779"/>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styleId="BalloonText">
    <w:name w:val="Balloon Text"/>
    <w:basedOn w:val="Normal"/>
    <w:link w:val="BalloonTextChar"/>
    <w:uiPriority w:val="99"/>
    <w:semiHidden/>
    <w:unhideWhenUsed/>
    <w:rsid w:val="000B65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65C6"/>
    <w:rPr>
      <w:rFonts w:ascii="Tahoma" w:hAnsi="Tahoma" w:cs="Tahoma"/>
      <w:sz w:val="16"/>
      <w:szCs w:val="16"/>
    </w:rPr>
  </w:style>
  <w:style w:type="character" w:customStyle="1" w:styleId="Heading1Char">
    <w:name w:val="Heading 1 Char"/>
    <w:basedOn w:val="DefaultParagraphFont"/>
    <w:link w:val="Heading1"/>
    <w:rsid w:val="00DD0090"/>
    <w:rPr>
      <w:rFonts w:ascii="Arial" w:eastAsia="Times New Roman" w:hAnsi="Arial" w:cs="Arial"/>
      <w:b/>
      <w:bCs/>
      <w:sz w:val="24"/>
      <w:szCs w:val="24"/>
      <w:lang w:val="es-ES" w:eastAsia="es-ES"/>
    </w:rPr>
  </w:style>
  <w:style w:type="paragraph" w:styleId="BodyText">
    <w:name w:val="Body Text"/>
    <w:basedOn w:val="Normal"/>
    <w:link w:val="BodyTextChar"/>
    <w:rsid w:val="00DD0090"/>
    <w:pPr>
      <w:spacing w:after="0" w:line="240" w:lineRule="auto"/>
      <w:jc w:val="both"/>
    </w:pPr>
    <w:rPr>
      <w:rFonts w:ascii="Times New Roman" w:eastAsia="Times New Roman" w:hAnsi="Times New Roman" w:cs="Times New Roman"/>
      <w:sz w:val="24"/>
      <w:szCs w:val="24"/>
      <w:lang w:val="es-ES" w:eastAsia="es-ES"/>
    </w:rPr>
  </w:style>
  <w:style w:type="character" w:customStyle="1" w:styleId="BodyTextChar">
    <w:name w:val="Body Text Char"/>
    <w:basedOn w:val="DefaultParagraphFont"/>
    <w:link w:val="BodyText"/>
    <w:rsid w:val="00DD0090"/>
    <w:rPr>
      <w:rFonts w:ascii="Times New Roman" w:eastAsia="Times New Roman" w:hAnsi="Times New Roman" w:cs="Times New Roman"/>
      <w:sz w:val="24"/>
      <w:szCs w:val="24"/>
      <w:lang w:val="es-ES" w:eastAsia="es-ES"/>
    </w:rPr>
  </w:style>
  <w:style w:type="character" w:styleId="Hyperlink">
    <w:name w:val="Hyperlink"/>
    <w:basedOn w:val="DefaultParagraphFont"/>
    <w:uiPriority w:val="99"/>
    <w:unhideWhenUsed/>
    <w:rsid w:val="00DD00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895079">
      <w:bodyDiv w:val="1"/>
      <w:marLeft w:val="0"/>
      <w:marRight w:val="0"/>
      <w:marTop w:val="0"/>
      <w:marBottom w:val="0"/>
      <w:divBdr>
        <w:top w:val="none" w:sz="0" w:space="0" w:color="auto"/>
        <w:left w:val="none" w:sz="0" w:space="0" w:color="auto"/>
        <w:bottom w:val="none" w:sz="0" w:space="0" w:color="auto"/>
        <w:right w:val="none" w:sz="0" w:space="0" w:color="auto"/>
      </w:divBdr>
    </w:div>
    <w:div w:id="579172139">
      <w:bodyDiv w:val="1"/>
      <w:marLeft w:val="0"/>
      <w:marRight w:val="0"/>
      <w:marTop w:val="0"/>
      <w:marBottom w:val="0"/>
      <w:divBdr>
        <w:top w:val="none" w:sz="0" w:space="0" w:color="auto"/>
        <w:left w:val="none" w:sz="0" w:space="0" w:color="auto"/>
        <w:bottom w:val="none" w:sz="0" w:space="0" w:color="auto"/>
        <w:right w:val="none" w:sz="0" w:space="0" w:color="auto"/>
      </w:divBdr>
    </w:div>
    <w:div w:id="589854199">
      <w:bodyDiv w:val="1"/>
      <w:marLeft w:val="0"/>
      <w:marRight w:val="0"/>
      <w:marTop w:val="0"/>
      <w:marBottom w:val="0"/>
      <w:divBdr>
        <w:top w:val="none" w:sz="0" w:space="0" w:color="auto"/>
        <w:left w:val="none" w:sz="0" w:space="0" w:color="auto"/>
        <w:bottom w:val="none" w:sz="0" w:space="0" w:color="auto"/>
        <w:right w:val="none" w:sz="0" w:space="0" w:color="auto"/>
      </w:divBdr>
    </w:div>
    <w:div w:id="1196505288">
      <w:bodyDiv w:val="1"/>
      <w:marLeft w:val="0"/>
      <w:marRight w:val="0"/>
      <w:marTop w:val="0"/>
      <w:marBottom w:val="0"/>
      <w:divBdr>
        <w:top w:val="none" w:sz="0" w:space="0" w:color="auto"/>
        <w:left w:val="none" w:sz="0" w:space="0" w:color="auto"/>
        <w:bottom w:val="none" w:sz="0" w:space="0" w:color="auto"/>
        <w:right w:val="none" w:sz="0" w:space="0" w:color="auto"/>
      </w:divBdr>
    </w:div>
    <w:div w:id="190062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cretaria@aiap.org.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578</Words>
  <Characters>3299</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AIAP</dc:creator>
  <cp:lastModifiedBy>AIAP</cp:lastModifiedBy>
  <cp:revision>9</cp:revision>
  <cp:lastPrinted>2013-04-23T15:15:00Z</cp:lastPrinted>
  <dcterms:created xsi:type="dcterms:W3CDTF">2013-04-23T14:27:00Z</dcterms:created>
  <dcterms:modified xsi:type="dcterms:W3CDTF">2013-04-23T15:17:00Z</dcterms:modified>
</cp:coreProperties>
</file>